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rFonts w:ascii="Arial" w:cs="Arial" w:eastAsia="Arial" w:hAnsi="Arial"/>
          <w:b/>
          <w:bCs/>
          <w:sz w:val="36"/>
          <w:szCs w:val="36"/>
        </w:rPr>
        <w:t xml:space="preserve">Supplementary Dataset</w:t>
      </w:r>
    </w:p>
    <w:p>
      <w:pPr>
        <w:spacing w:after="120"/>
        <w:jc w:val="center"/>
      </w:pPr>
      <w:r>
        <w:rPr>
          <w:rFonts w:ascii="Arial" w:cs="Arial" w:eastAsia="Arial" w:hAnsi="Arial"/>
          <w:b/>
          <w:bCs/>
          <w:sz w:val="28"/>
          <w:szCs w:val="28"/>
        </w:rPr>
        <w:t xml:space="preserve">Survey of Science Gateway Decision Support System Capabilities</w:t>
      </w:r>
    </w:p>
    <w:p>
      <w:pPr>
        <w:spacing w:after="80"/>
        <w:jc w:val="center"/>
      </w:pPr>
      <w:r>
        <w:rPr>
          <w:rFonts w:ascii="Arial" w:cs="Arial" w:eastAsia="Arial" w:hAnsi="Arial"/>
          <w:i/>
          <w:iCs/>
          <w:sz w:val="22"/>
          <w:szCs w:val="22"/>
        </w:rPr>
        <w:t xml:space="preserve">Supplementary Materials for: A Science Gateway Approach to Decision Support</w:t>
      </w:r>
    </w:p>
    <w:p>
      <w:pPr>
        <w:spacing w:after="80"/>
        <w:jc w:val="center"/>
      </w:pPr>
      <w:r>
        <w:rPr>
          <w:rFonts w:ascii="Arial" w:cs="Arial" w:eastAsia="Arial" w:hAnsi="Arial"/>
          <w:sz w:val="22"/>
          <w:szCs w:val="22"/>
        </w:rPr>
        <w:t xml:space="preserve">Suzanne A. Pierce</w:t>
      </w:r>
    </w:p>
    <w:p>
      <w:pPr>
        <w:spacing w:after="200"/>
        <w:jc w:val="center"/>
      </w:pPr>
      <w:r>
        <w:rPr>
          <w:rFonts w:ascii="Arial" w:cs="Arial" w:eastAsia="Arial" w:hAnsi="Arial"/>
          <w:sz w:val="20"/>
          <w:szCs w:val="20"/>
        </w:rPr>
        <w:t xml:space="preserve">Texas Advanced Computing Center, The University of Texas at Austin</w:t>
      </w:r>
    </w:p>
    <w:p>
      <w:pPr>
        <w:spacing w:after="200"/>
      </w:pPr>
      <w:r>
        <w:rPr>
          <w:rFonts w:ascii="Arial" w:cs="Arial" w:eastAsia="Arial" w:hAnsi="Arial"/>
          <w:i/>
          <w:iCs/>
          <w:sz w:val="20"/>
          <w:szCs w:val="20"/>
        </w:rPr>
        <w:t xml:space="preserve">Citation: Pierce, S.A. (2025). Survey of Science Gateway Decision Support System Capabilities [Dataset]. Texas ScholarWorks. https://doi.org/[DOI-TO-BE-ASSIGNED]</w:t>
      </w:r>
    </w:p>
    <w:p>
      <w:pPr>
        <w:pStyle w:val="Heading2"/>
      </w:pPr>
      <w:r>
        <w:t xml:space="preserve">Methodology</w:t>
      </w:r>
    </w:p>
    <w:p>
      <w:pPr>
        <w:spacing w:after="120"/>
      </w:pPr>
      <w:r>
        <w:rPr>
          <w:rFonts w:ascii="Arial" w:cs="Arial" w:eastAsia="Arial" w:hAnsi="Arial"/>
          <w:sz w:val="20"/>
          <w:szCs w:val="20"/>
        </w:rPr>
        <w:t xml:space="preserve">A systematic literature search was completed based on results from the Semantic Scholar corpus using queries focused on science gateways for decision support systems in participatory computational science. The search retrieved 498 potentially relevant papers. Papers were screened using seven criteria: (1) science gateways or web-based computational platforms, (2) decision support system applications, (3) empirical evidence, (4) participatory or collaborative approaches, (5) collaborative features, (6) real-world application, and (7) high-performance or distributed computing. We made holistic judgments resulting in 40 highest-scoring papers that met inclusion criteria. Papers where full text was unavailable were removed. Thematic analysis was completed with a large language model and focused on extracting structured data from each paper on reproducible environment design, participatory science enablement, infrastructure sustainability, and real-time analytics capabilities.</w:t>
      </w:r>
    </w:p>
    <w:p>
      <w:pPr>
        <w:pStyle w:val="Heading2"/>
        <w:spacing w:before="200" w:after="120"/>
      </w:pPr>
      <w:r>
        <w:t xml:space="preserve">Table S1. Science Gateway Decision Support Capabilities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1600"/>
        <w:gridCol w:w="2200"/>
        <w:gridCol w:w="1160"/>
      </w:tblGrid>
      <w:tr>
        <w:trPr>
          <w:tblHeader/>
        </w:trPr>
        <w:tc>
          <w:tcPr>
            <w:tcW w:type="dxa" w:w="2400"/>
            <w:tcBorders>
              <w:top w:val="single" w:color="666666" w:sz="1"/>
              <w:left w:val="single" w:color="666666" w:sz="1"/>
              <w:bottom w:val="single" w:color="666666" w:sz="1"/>
              <w:right w:val="single" w:color="666666" w:sz="1"/>
            </w:tcBorders>
            <w:shd w:fill="4472C4" w:val="clear"/>
            <w:tcMar>
              <w:top w:type="dxa" w:w="60"/>
              <w:left w:type="dxa" w:w="80"/>
              <w:bottom w:type="dxa" w:w="60"/>
              <w:right w:type="dxa" w:w="80"/>
            </w:tcMar>
          </w:tcPr>
          <w:p>
            <w:r>
              <w:rPr>
                <w:rFonts w:ascii="Arial" w:cs="Arial" w:eastAsia="Arial" w:hAnsi="Arial"/>
                <w:b/>
                <w:bCs/>
                <w:color w:val="FFFFFF"/>
                <w:sz w:val="20"/>
                <w:szCs w:val="20"/>
              </w:rPr>
              <w:t xml:space="preserve">Study Focus</w:t>
            </w:r>
          </w:p>
        </w:tc>
        <w:tc>
          <w:tcPr>
            <w:tcW w:type="dxa" w:w="2000"/>
            <w:tcBorders>
              <w:top w:val="single" w:color="666666" w:sz="1"/>
              <w:left w:val="single" w:color="666666" w:sz="1"/>
              <w:bottom w:val="single" w:color="666666" w:sz="1"/>
              <w:right w:val="single" w:color="666666" w:sz="1"/>
            </w:tcBorders>
            <w:shd w:fill="4472C4" w:val="clear"/>
            <w:tcMar>
              <w:top w:type="dxa" w:w="60"/>
              <w:left w:type="dxa" w:w="80"/>
              <w:bottom w:type="dxa" w:w="60"/>
              <w:right w:type="dxa" w:w="80"/>
            </w:tcMar>
          </w:tcPr>
          <w:p>
            <w:r>
              <w:rPr>
                <w:rFonts w:ascii="Arial" w:cs="Arial" w:eastAsia="Arial" w:hAnsi="Arial"/>
                <w:b/>
                <w:bCs/>
                <w:color w:val="FFFFFF"/>
                <w:sz w:val="20"/>
                <w:szCs w:val="20"/>
              </w:rPr>
              <w:t xml:space="preserve">Gateway Platform/Technology</w:t>
            </w:r>
          </w:p>
        </w:tc>
        <w:tc>
          <w:tcPr>
            <w:tcW w:type="dxa" w:w="1600"/>
            <w:tcBorders>
              <w:top w:val="single" w:color="666666" w:sz="1"/>
              <w:left w:val="single" w:color="666666" w:sz="1"/>
              <w:bottom w:val="single" w:color="666666" w:sz="1"/>
              <w:right w:val="single" w:color="666666" w:sz="1"/>
            </w:tcBorders>
            <w:shd w:fill="4472C4" w:val="clear"/>
            <w:tcMar>
              <w:top w:type="dxa" w:w="60"/>
              <w:left w:type="dxa" w:w="80"/>
              <w:bottom w:type="dxa" w:w="60"/>
              <w:right w:type="dxa" w:w="80"/>
            </w:tcMar>
          </w:tcPr>
          <w:p>
            <w:r>
              <w:rPr>
                <w:rFonts w:ascii="Arial" w:cs="Arial" w:eastAsia="Arial" w:hAnsi="Arial"/>
                <w:b/>
                <w:bCs/>
                <w:color w:val="FFFFFF"/>
                <w:sz w:val="20"/>
                <w:szCs w:val="20"/>
              </w:rPr>
              <w:t xml:space="preserve">Target Domain</w:t>
            </w:r>
          </w:p>
        </w:tc>
        <w:tc>
          <w:tcPr>
            <w:tcW w:type="dxa" w:w="2200"/>
            <w:tcBorders>
              <w:top w:val="single" w:color="666666" w:sz="1"/>
              <w:left w:val="single" w:color="666666" w:sz="1"/>
              <w:bottom w:val="single" w:color="666666" w:sz="1"/>
              <w:right w:val="single" w:color="666666" w:sz="1"/>
            </w:tcBorders>
            <w:shd w:fill="4472C4" w:val="clear"/>
            <w:tcMar>
              <w:top w:type="dxa" w:w="60"/>
              <w:left w:type="dxa" w:w="80"/>
              <w:bottom w:type="dxa" w:w="60"/>
              <w:right w:type="dxa" w:w="80"/>
            </w:tcMar>
          </w:tcPr>
          <w:p>
            <w:r>
              <w:rPr>
                <w:rFonts w:ascii="Arial" w:cs="Arial" w:eastAsia="Arial" w:hAnsi="Arial"/>
                <w:b/>
                <w:bCs/>
                <w:color w:val="FFFFFF"/>
                <w:sz w:val="20"/>
                <w:szCs w:val="20"/>
              </w:rPr>
              <w:t xml:space="preserve">DSS Capability Addressed</w:t>
            </w:r>
          </w:p>
        </w:tc>
        <w:tc>
          <w:tcPr>
            <w:tcW w:type="dxa" w:w="1160"/>
            <w:tcBorders>
              <w:top w:val="single" w:color="666666" w:sz="1"/>
              <w:left w:val="single" w:color="666666" w:sz="1"/>
              <w:bottom w:val="single" w:color="666666" w:sz="1"/>
              <w:right w:val="single" w:color="666666" w:sz="1"/>
            </w:tcBorders>
            <w:shd w:fill="4472C4" w:val="clear"/>
            <w:tcMar>
              <w:top w:type="dxa" w:w="60"/>
              <w:left w:type="dxa" w:w="80"/>
              <w:bottom w:type="dxa" w:w="60"/>
              <w:right w:type="dxa" w:w="80"/>
            </w:tcMar>
          </w:tcPr>
          <w:p>
            <w:r>
              <w:rPr>
                <w:rFonts w:ascii="Arial" w:cs="Arial" w:eastAsia="Arial" w:hAnsi="Arial"/>
                <w:b/>
                <w:bCs/>
                <w:color w:val="FFFFFF"/>
                <w:sz w:val="20"/>
                <w:szCs w:val="20"/>
              </w:rPr>
              <w:t xml:space="preserve">Reference</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CCS technology evaluation for decision support and risk assessment</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Apache Airavata, SimCCS</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Carbon capture and storage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Decision support, risk assessment, stakeholder engagement</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Wang et al. 2018a</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Hydrological modeling for water management and climate change</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Apache Airavata, SWAT, SWATMODFLOW, RShiny</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Water resources</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Spatio-temporal modeling, scenario analysis, stakeholder participation</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Dierauer et al. 2020</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Large-scale modeling/data processing in neuroscience</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CIPRES software, XSEDE</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Neuroscience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High-performance computing (HPC) access, collaborative modeling, tool dissemination</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Sivagnanam et al. 2018</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Land management and sustainability via spatial decision support system (S-DSS)</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HPC, datacube, GCI</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Land management, sustainability</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Multi-criteria DSS, transdisciplinary, open access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Terribile et al. 2025</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Scalable cyberinfrastructure for research collaboration</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Open OnDemand, XDMOD, Jupyter</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Computational research</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Workflow optimization, collaboration, DataOps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Tripathi et al. 2020</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CO2 capture/transport/storage optimization</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Apache Airavata</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Carbon sequestration</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Integrated modeling, stakeholder platform</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Pamidighantam et al. 2020</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Survey of science gateway community</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Not specified</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Multidisciplinary</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Community needs, sustainability, resource access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Lawrence et al. 2015</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Bridging cyberinfrastructure and geographic information science</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GISolve Toolkit, TeraGrid</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GIScience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Distributed geoprocessing, collaborative analysis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Wang et al. 2009</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Machine learning pipeline for gravity anomaly prediction</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Python, Docker, open-source stack</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Geoscience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ML explainability, reproducibility, visualization</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Arndt et al. 2024</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Genomics data processing for biologists</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Apache Airavata, dREG, XSEDE</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Genomics</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User-friendly HPC, functional genomics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Wang et al. 2018b</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Integration of CyberGIS and OpenTopography</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Opal toolkit, GISolve</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Geospatial analysis</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Data/service integration, collaborative workflows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Padmanabhan et al. 2013</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Astrophysics data integration and visualization</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WSPGRADE/gUSE, DCIs</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Astrophysics</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Workflow sharing, collaborative analysis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Sciacca et al. 2013</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Reference architecture with e-learning</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MiCADO, Kubernetes, Jupyter</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Plasmasphere/ionosphere/thermosphere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Cloud-based DSS, e-learning, reference architectures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Pierantoni et al. 2022</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Reusable geospatial data building blocks</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HUBzero, iData, GeoBuilder</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Geospatial data</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Modular workflows, data management</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Zhao et al. 2017</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Reproducible ecosystem science workflows</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Kepler, CoESRA cloud</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Ecosystem science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Workflow sharing, reproducibility</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Guru et al. 2016</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Spatial decision support system for mangrove inventory</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Tomcat, GeoServer, Kepler, OpenStack</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Mangrove management</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Fieldwork design, scenario evaluation</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Tang et al. 2016</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Healthcare data management for COVID-19</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Plug-in middleware, Vidura</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Healthcare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Evidence-based filtering, chatbot support</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Oruche et al. 2022</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Environmental data science education</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Public cloud virtual machines</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Environmental data science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Bridging digital divide, scalable compute</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McIntosh et al. 2023</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Image analysis for traumatic brain injury research</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Globus Galaxies, cloud</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TBI research</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Pipeline assembly, reproducibility</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Chard et al. 2014</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Collaborative workspace for bioscience</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Makeflow, Notre Dame Core</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Bioinformatics</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Workflow management, reproducibility</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Carmichael et al. 2010</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Decentralized virtual research environment with blockchain</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Jupyter, Ethereum</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Multidomain</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Decentralized collaboration, secure sharing</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Wang et al. 2025</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Milky Way analysis gateway</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WSPGRADE/gUSE, VLKB</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Astrophysics</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Parallel workflows, resource monitoring</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Sciacca et al. 2017</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Groundwater DSS for aquifer management</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GRID, CODESA 3-D</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Water resources</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Real-time modeling, collaborative platform</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Cau et al. 2008</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Fuzzy-based conversational recommender</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Apache, MySQL, Dialogflow</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Neuroscience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Chatbot guidance, user profiling</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Chandrashekara et al. 2018</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Water science gateway for Hawaii</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Agave platform, Jupyter</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Hydrology, multidomain</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Data management, reproducible workflows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Cleveland et al. 2018</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Phylogenetic inference gateway</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Workflow, TeraGrid, MrBayes</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Evolutionary biology</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Parallelized inference, reproducibility</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Miller et al. 2010</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Biomass-to-biofuel supply chain DSS</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GISolve, BioScope</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Bioenergy</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Optimization, uncertainty analysis</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Montella et al. 2015a</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Neuroscience gateway for modeling/data</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XSEDE, cloud, GPUs</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Neuroscience</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Tool dissemination, ML support</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Sivagnanam et al. 2020</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Computational fluid dynamics simulation gateway</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Apache Airavata, TACC</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Computational fluid dynamics</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Simulation management, reproducibility</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Smith et al. 2018</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Cryo-electron microscopy structure determination</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CIPRES, Globus, XSEDE</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Structural biology</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Workflow simplification, data transfer</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Cianfrocco et al. 2017</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Food security research gateway</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Globus Galaxies, AWS</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Crop/climate impact</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Data pipelines, model intercomparison</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Montella et al. 2015b</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Agent-based simulation gateway</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Liferay, Catania grid</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Epidemiology</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Simulation access, e-Infrastructure</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Fabiyi et al. 2016</w:t>
            </w:r>
          </w:p>
        </w:tc>
      </w:tr>
      <w:tr>
        <w:tc>
          <w:tcPr>
            <w:tcW w:type="dxa" w:w="24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nanoHUB for nanotechnology</w:t>
            </w:r>
          </w:p>
        </w:tc>
        <w:tc>
          <w:tcPr>
            <w:tcW w:type="dxa" w:w="20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HUBzero</w:t>
            </w:r>
          </w:p>
        </w:tc>
        <w:tc>
          <w:tcPr>
            <w:tcW w:type="dxa" w:w="16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Nanotechnology</w:t>
            </w:r>
          </w:p>
        </w:tc>
        <w:tc>
          <w:tcPr>
            <w:tcW w:type="dxa" w:w="220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Community engagement, education</w:t>
            </w:r>
          </w:p>
        </w:tc>
        <w:tc>
          <w:tcPr>
            <w:tcW w:type="dxa" w:w="1160"/>
            <w:tcBorders>
              <w:top w:val="single" w:color="666666" w:sz="1"/>
              <w:left w:val="single" w:color="666666" w:sz="1"/>
              <w:bottom w:val="single" w:color="666666" w:sz="1"/>
              <w:right w:val="single" w:color="666666" w:sz="1"/>
            </w:tcBorders>
            <w:tcMar>
              <w:top w:type="dxa" w:w="50"/>
              <w:left w:type="dxa" w:w="80"/>
              <w:bottom w:type="dxa" w:w="50"/>
              <w:right w:type="dxa" w:w="80"/>
            </w:tcMar>
          </w:tcPr>
          <w:p>
            <w:r>
              <w:rPr>
                <w:rFonts w:ascii="Arial" w:cs="Arial" w:eastAsia="Arial" w:hAnsi="Arial"/>
                <w:sz w:val="18"/>
                <w:szCs w:val="18"/>
              </w:rPr>
              <w:t xml:space="preserve">Zentner et al. 2016</w:t>
            </w:r>
          </w:p>
        </w:tc>
      </w:tr>
    </w:tbl>
    <w:p>
      <w:r>
        <w:br w:type="page"/>
      </w:r>
    </w:p>
    <w:p>
      <w:pPr>
        <w:pStyle w:val="Heading2"/>
        <w:spacing w:before="200" w:after="120"/>
      </w:pPr>
      <w:r>
        <w:t xml:space="preserve">References</w:t>
      </w:r>
    </w:p>
    <w:p>
      <w:pPr>
        <w:spacing w:after="80"/>
        <w:ind w:left="360" w:hanging="360"/>
      </w:pPr>
      <w:r>
        <w:rPr>
          <w:rFonts w:ascii="Arial" w:cs="Arial" w:eastAsia="Arial" w:hAnsi="Arial"/>
          <w:sz w:val="18"/>
          <w:szCs w:val="18"/>
        </w:rPr>
        <w:t xml:space="preserve">Arndt, D., et al. (2024). Science gateway for machine learning-based gravity anomaly prediction. Computing in Science &amp; Engineering.</w:t>
      </w:r>
    </w:p>
    <w:p>
      <w:pPr>
        <w:spacing w:after="80"/>
        <w:ind w:left="360" w:hanging="360"/>
      </w:pPr>
      <w:r>
        <w:rPr>
          <w:rFonts w:ascii="Arial" w:cs="Arial" w:eastAsia="Arial" w:hAnsi="Arial"/>
          <w:sz w:val="18"/>
          <w:szCs w:val="18"/>
        </w:rPr>
        <w:t xml:space="preserve">Carmichael, A., et al. (2010). Biocompute: A collaborative workspace for bioscience research. Concurrency and Computation: Practice and Experience.</w:t>
      </w:r>
    </w:p>
    <w:p>
      <w:pPr>
        <w:spacing w:after="80"/>
        <w:ind w:left="360" w:hanging="360"/>
      </w:pPr>
      <w:r>
        <w:rPr>
          <w:rFonts w:ascii="Arial" w:cs="Arial" w:eastAsia="Arial" w:hAnsi="Arial"/>
          <w:sz w:val="18"/>
          <w:szCs w:val="18"/>
        </w:rPr>
        <w:t xml:space="preserve">Cau, P., et al. (2008). A web-based groundwater decision support system for aquifer management. Environmental Modelling &amp; Software, 23(10-11), 1189-1199.</w:t>
      </w:r>
    </w:p>
    <w:p>
      <w:pPr>
        <w:spacing w:after="80"/>
        <w:ind w:left="360" w:hanging="360"/>
      </w:pPr>
      <w:r>
        <w:rPr>
          <w:rFonts w:ascii="Arial" w:cs="Arial" w:eastAsia="Arial" w:hAnsi="Arial"/>
          <w:sz w:val="18"/>
          <w:szCs w:val="18"/>
        </w:rPr>
        <w:t xml:space="preserve">Chandrashekara, S., et al. (2018). Fuzzy-based conversational recommender for science gateways. Future Generation Computer Systems, 88, 168-177.</w:t>
      </w:r>
    </w:p>
    <w:p>
      <w:pPr>
        <w:spacing w:after="80"/>
        <w:ind w:left="360" w:hanging="360"/>
      </w:pPr>
      <w:r>
        <w:rPr>
          <w:rFonts w:ascii="Arial" w:cs="Arial" w:eastAsia="Arial" w:hAnsi="Arial"/>
          <w:sz w:val="18"/>
          <w:szCs w:val="18"/>
        </w:rPr>
        <w:t xml:space="preserve">Chard, K., et al. (2014). Cloud-based image analysis for traumatic brain injury research. Journal of Neuroscience Methods, 233, 129-136.</w:t>
      </w:r>
    </w:p>
    <w:p>
      <w:pPr>
        <w:spacing w:after="80"/>
        <w:ind w:left="360" w:hanging="360"/>
      </w:pPr>
      <w:r>
        <w:rPr>
          <w:rFonts w:ascii="Arial" w:cs="Arial" w:eastAsia="Arial" w:hAnsi="Arial"/>
          <w:sz w:val="18"/>
          <w:szCs w:val="18"/>
        </w:rPr>
        <w:t xml:space="preserve">Cianfrocco, M. A., et al. (2017). COSMIC2: A science gateway for cryo-electron microscopy structure determination. Proceedings of PEARC '17, Article 22.</w:t>
      </w:r>
    </w:p>
    <w:p>
      <w:pPr>
        <w:spacing w:after="80"/>
        <w:ind w:left="360" w:hanging="360"/>
      </w:pPr>
      <w:r>
        <w:rPr>
          <w:rFonts w:ascii="Arial" w:cs="Arial" w:eastAsia="Arial" w:hAnsi="Arial"/>
          <w:sz w:val="18"/>
          <w:szCs w:val="18"/>
        </w:rPr>
        <w:t xml:space="preserve">Cleveland, S. B., et al. (2018). Ike Wai: A water science gateway for Hawaii. Proceedings of Gateways 2018.</w:t>
      </w:r>
    </w:p>
    <w:p>
      <w:pPr>
        <w:spacing w:after="80"/>
        <w:ind w:left="360" w:hanging="360"/>
      </w:pPr>
      <w:r>
        <w:rPr>
          <w:rFonts w:ascii="Arial" w:cs="Arial" w:eastAsia="Arial" w:hAnsi="Arial"/>
          <w:sz w:val="18"/>
          <w:szCs w:val="18"/>
        </w:rPr>
        <w:t xml:space="preserve">Dierauer, J. R., et al. (2020). FutureWater Indiana: A science gateway for hydrological modeling and water management. Environmental Modelling &amp; Software, 134, 104858.</w:t>
      </w:r>
    </w:p>
    <w:p>
      <w:pPr>
        <w:spacing w:after="80"/>
        <w:ind w:left="360" w:hanging="360"/>
      </w:pPr>
      <w:r>
        <w:rPr>
          <w:rFonts w:ascii="Arial" w:cs="Arial" w:eastAsia="Arial" w:hAnsi="Arial"/>
          <w:sz w:val="18"/>
          <w:szCs w:val="18"/>
        </w:rPr>
        <w:t xml:space="preserve">Fabiyi, A., et al. (2016). Investigating the feasibility of agent-based simulation gateways. Proceedings of the 8th International Workshop on Science Gateways.</w:t>
      </w:r>
    </w:p>
    <w:p>
      <w:pPr>
        <w:spacing w:after="80"/>
        <w:ind w:left="360" w:hanging="360"/>
      </w:pPr>
      <w:r>
        <w:rPr>
          <w:rFonts w:ascii="Arial" w:cs="Arial" w:eastAsia="Arial" w:hAnsi="Arial"/>
          <w:sz w:val="18"/>
          <w:szCs w:val="18"/>
        </w:rPr>
        <w:t xml:space="preserve">Guru, S., et al. (2016). Development of a science gateway for reproducible ecosystem science workflows. Ecological Informatics, 36, 150-157.</w:t>
      </w:r>
    </w:p>
    <w:p>
      <w:pPr>
        <w:spacing w:after="80"/>
        <w:ind w:left="360" w:hanging="360"/>
      </w:pPr>
      <w:r>
        <w:rPr>
          <w:rFonts w:ascii="Arial" w:cs="Arial" w:eastAsia="Arial" w:hAnsi="Arial"/>
          <w:sz w:val="18"/>
          <w:szCs w:val="18"/>
        </w:rPr>
        <w:t xml:space="preserve">Lawrence, K. A., et al. (2015). Science gateways today and tomorrow: Positive perspectives of nearly 5000 members of the research community. Concurrency and Computation: Practice and Experience, 27(16), 4252-4268.</w:t>
      </w:r>
    </w:p>
    <w:p>
      <w:pPr>
        <w:spacing w:after="80"/>
        <w:ind w:left="360" w:hanging="360"/>
      </w:pPr>
      <w:r>
        <w:rPr>
          <w:rFonts w:ascii="Arial" w:cs="Arial" w:eastAsia="Arial" w:hAnsi="Arial"/>
          <w:sz w:val="18"/>
          <w:szCs w:val="18"/>
        </w:rPr>
        <w:t xml:space="preserve">McIntosh, J. A., et al. (2023). Cyberinfrastructure for environmental data science education. Environmental Data Science, 2, e25.</w:t>
      </w:r>
    </w:p>
    <w:p>
      <w:pPr>
        <w:spacing w:after="80"/>
        <w:ind w:left="360" w:hanging="360"/>
      </w:pPr>
      <w:r>
        <w:rPr>
          <w:rFonts w:ascii="Arial" w:cs="Arial" w:eastAsia="Arial" w:hAnsi="Arial"/>
          <w:sz w:val="18"/>
          <w:szCs w:val="18"/>
        </w:rPr>
        <w:t xml:space="preserve">Miller, M. A., et al. (2010). Creating the CIPRES science gateway for inference of large phylogenetic trees. Proceedings of the Gateway Computing Environments Workshop, 1-8.</w:t>
      </w:r>
    </w:p>
    <w:p>
      <w:pPr>
        <w:spacing w:after="80"/>
        <w:ind w:left="360" w:hanging="360"/>
      </w:pPr>
      <w:r>
        <w:rPr>
          <w:rFonts w:ascii="Arial" w:cs="Arial" w:eastAsia="Arial" w:hAnsi="Arial"/>
          <w:sz w:val="18"/>
          <w:szCs w:val="18"/>
        </w:rPr>
        <w:t xml:space="preserve">Montella, R., et al. (2015a). FACEIT: A science gateway for food security research. Proceedings of IWSG 2015.</w:t>
      </w:r>
    </w:p>
    <w:p>
      <w:pPr>
        <w:spacing w:after="80"/>
        <w:ind w:left="360" w:hanging="360"/>
      </w:pPr>
      <w:r>
        <w:rPr>
          <w:rFonts w:ascii="Arial" w:cs="Arial" w:eastAsia="Arial" w:hAnsi="Arial"/>
          <w:sz w:val="18"/>
          <w:szCs w:val="18"/>
        </w:rPr>
        <w:t xml:space="preserve">Montella, R., et al. (2015b). Science gateway for crop/climate impact assessment. Future Generation Computer Systems, 59, 18-25.</w:t>
      </w:r>
    </w:p>
    <w:p>
      <w:pPr>
        <w:spacing w:after="80"/>
        <w:ind w:left="360" w:hanging="360"/>
      </w:pPr>
      <w:r>
        <w:rPr>
          <w:rFonts w:ascii="Arial" w:cs="Arial" w:eastAsia="Arial" w:hAnsi="Arial"/>
          <w:sz w:val="18"/>
          <w:szCs w:val="18"/>
        </w:rPr>
        <w:t xml:space="preserve">Oruche, R., et al. (2022). Science gateways for healthcare data management during COVID-19. Proceedings of PEARC '22.</w:t>
      </w:r>
    </w:p>
    <w:p>
      <w:pPr>
        <w:spacing w:after="80"/>
        <w:ind w:left="360" w:hanging="360"/>
      </w:pPr>
      <w:r>
        <w:rPr>
          <w:rFonts w:ascii="Arial" w:cs="Arial" w:eastAsia="Arial" w:hAnsi="Arial"/>
          <w:sz w:val="18"/>
          <w:szCs w:val="18"/>
        </w:rPr>
        <w:t xml:space="preserve">Padmanabhan, A., et al. (2013). Integration of CyberGIS and OpenTopography for large-scale geospatial analysis. Computers, Environment and Urban Systems, 41, 113-123.</w:t>
      </w:r>
    </w:p>
    <w:p>
      <w:pPr>
        <w:spacing w:after="80"/>
        <w:ind w:left="360" w:hanging="360"/>
      </w:pPr>
      <w:r>
        <w:rPr>
          <w:rFonts w:ascii="Arial" w:cs="Arial" w:eastAsia="Arial" w:hAnsi="Arial"/>
          <w:sz w:val="18"/>
          <w:szCs w:val="18"/>
        </w:rPr>
        <w:t xml:space="preserve">Pamidighantam, S., et al. (2020). Science gateway for carbon capture and storage optimization. Proceedings of PEARC '20.</w:t>
      </w:r>
    </w:p>
    <w:p>
      <w:pPr>
        <w:spacing w:after="80"/>
        <w:ind w:left="360" w:hanging="360"/>
      </w:pPr>
      <w:r>
        <w:rPr>
          <w:rFonts w:ascii="Arial" w:cs="Arial" w:eastAsia="Arial" w:hAnsi="Arial"/>
          <w:sz w:val="18"/>
          <w:szCs w:val="18"/>
        </w:rPr>
        <w:t xml:space="preserve">Pierantoni, G., et al. (2022). Toward a reference architecture for plasmasphere science gateways. Future Generation Computer Systems, 134, 219-231.</w:t>
      </w:r>
    </w:p>
    <w:p>
      <w:pPr>
        <w:spacing w:after="80"/>
        <w:ind w:left="360" w:hanging="360"/>
      </w:pPr>
      <w:r>
        <w:rPr>
          <w:rFonts w:ascii="Arial" w:cs="Arial" w:eastAsia="Arial" w:hAnsi="Arial"/>
          <w:sz w:val="18"/>
          <w:szCs w:val="18"/>
        </w:rPr>
        <w:t xml:space="preserve">Sciacca, E., et al. (2013). VisIVO science gateway for astrophysical visualization. Future Generation Computer Systems, 29(8), 1873-1882.</w:t>
      </w:r>
    </w:p>
    <w:p>
      <w:pPr>
        <w:spacing w:after="80"/>
        <w:ind w:left="360" w:hanging="360"/>
      </w:pPr>
      <w:r>
        <w:rPr>
          <w:rFonts w:ascii="Arial" w:cs="Arial" w:eastAsia="Arial" w:hAnsi="Arial"/>
          <w:sz w:val="18"/>
          <w:szCs w:val="18"/>
        </w:rPr>
        <w:t xml:space="preserve">Sciacca, E., et al. (2017). Milky Way science gateway for astrophysical analysis. Concurrency and Computation: Practice and Experience, 29(13), e4093.</w:t>
      </w:r>
    </w:p>
    <w:p>
      <w:pPr>
        <w:spacing w:after="80"/>
        <w:ind w:left="360" w:hanging="360"/>
      </w:pPr>
      <w:r>
        <w:rPr>
          <w:rFonts w:ascii="Arial" w:cs="Arial" w:eastAsia="Arial" w:hAnsi="Arial"/>
          <w:sz w:val="18"/>
          <w:szCs w:val="18"/>
        </w:rPr>
        <w:t xml:space="preserve">Sivagnanam, S., et al. (2018). Neuroscience gateway: A HPC resource center for neuroscience research. Proceedings of PEARC '18.</w:t>
      </w:r>
    </w:p>
    <w:p>
      <w:pPr>
        <w:spacing w:after="80"/>
        <w:ind w:left="360" w:hanging="360"/>
      </w:pPr>
      <w:r>
        <w:rPr>
          <w:rFonts w:ascii="Arial" w:cs="Arial" w:eastAsia="Arial" w:hAnsi="Arial"/>
          <w:sz w:val="18"/>
          <w:szCs w:val="18"/>
        </w:rPr>
        <w:t xml:space="preserve">Sivagnanam, S., et al. (2020). The neuroscience gateway: Enabling large-scale modeling and data analysis. Proceedings of PEARC '20.</w:t>
      </w:r>
    </w:p>
    <w:p>
      <w:pPr>
        <w:spacing w:after="80"/>
        <w:ind w:left="360" w:hanging="360"/>
      </w:pPr>
      <w:r>
        <w:rPr>
          <w:rFonts w:ascii="Arial" w:cs="Arial" w:eastAsia="Arial" w:hAnsi="Arial"/>
          <w:sz w:val="18"/>
          <w:szCs w:val="18"/>
        </w:rPr>
        <w:t xml:space="preserve">Smith, C., et al. (2018). PHASTA science gateway for computational fluid dynamics simulations. Proceedings of PEARC '18.</w:t>
      </w:r>
    </w:p>
    <w:p>
      <w:pPr>
        <w:spacing w:after="80"/>
        <w:ind w:left="360" w:hanging="360"/>
      </w:pPr>
      <w:r>
        <w:rPr>
          <w:rFonts w:ascii="Arial" w:cs="Arial" w:eastAsia="Arial" w:hAnsi="Arial"/>
          <w:sz w:val="18"/>
          <w:szCs w:val="18"/>
        </w:rPr>
        <w:t xml:space="preserve">Tang, W., et al. (2016). A cyber-enabled spatial decision support system for mangrove inventory. Ecological Informatics, 31, 44-53.</w:t>
      </w:r>
    </w:p>
    <w:p>
      <w:pPr>
        <w:spacing w:after="80"/>
        <w:ind w:left="360" w:hanging="360"/>
      </w:pPr>
      <w:r>
        <w:rPr>
          <w:rFonts w:ascii="Arial" w:cs="Arial" w:eastAsia="Arial" w:hAnsi="Arial"/>
          <w:sz w:val="18"/>
          <w:szCs w:val="18"/>
        </w:rPr>
        <w:t xml:space="preserve">Terribile, F., et al. (2025). Moving toward operational land management decision support systems. Land Use Policy, 138, 107043.</w:t>
      </w:r>
    </w:p>
    <w:p>
      <w:pPr>
        <w:spacing w:after="80"/>
        <w:ind w:left="360" w:hanging="360"/>
      </w:pPr>
      <w:r>
        <w:rPr>
          <w:rFonts w:ascii="Arial" w:cs="Arial" w:eastAsia="Arial" w:hAnsi="Arial"/>
          <w:sz w:val="18"/>
          <w:szCs w:val="18"/>
        </w:rPr>
        <w:t xml:space="preserve">Tripathi, A., et al. (2020). Building a scalable cyberinfrastructure for research collaboration. Proceedings of PEARC '20.</w:t>
      </w:r>
    </w:p>
    <w:p>
      <w:pPr>
        <w:spacing w:after="80"/>
        <w:ind w:left="360" w:hanging="360"/>
      </w:pPr>
      <w:r>
        <w:rPr>
          <w:rFonts w:ascii="Arial" w:cs="Arial" w:eastAsia="Arial" w:hAnsi="Arial"/>
          <w:sz w:val="18"/>
          <w:szCs w:val="18"/>
        </w:rPr>
        <w:t xml:space="preserve">Wang, S., et al. (2009). TeraGrid GISolve toolkit: Bridging cyberinfrastructure and geographic information science. Proceedings of TeraGrid 2009.</w:t>
      </w:r>
    </w:p>
    <w:p>
      <w:pPr>
        <w:spacing w:after="80"/>
        <w:ind w:left="360" w:hanging="360"/>
      </w:pPr>
      <w:r>
        <w:rPr>
          <w:rFonts w:ascii="Arial" w:cs="Arial" w:eastAsia="Arial" w:hAnsi="Arial"/>
          <w:sz w:val="18"/>
          <w:szCs w:val="18"/>
        </w:rPr>
        <w:t xml:space="preserve">Wang, S., et al. (2018a). SimCCS2.0: A science gateway for carbon capture and storage. Proceedings of Gateways 2018.</w:t>
      </w:r>
    </w:p>
    <w:p>
      <w:pPr>
        <w:spacing w:after="80"/>
        <w:ind w:left="360" w:hanging="360"/>
      </w:pPr>
      <w:r>
        <w:rPr>
          <w:rFonts w:ascii="Arial" w:cs="Arial" w:eastAsia="Arial" w:hAnsi="Arial"/>
          <w:sz w:val="18"/>
          <w:szCs w:val="18"/>
        </w:rPr>
        <w:t xml:space="preserve">Wang, S., et al. (2018b). Building science gateways with Apache Airavata for genomics workflows. Proceedings of PEARC '18.</w:t>
      </w:r>
    </w:p>
    <w:p>
      <w:pPr>
        <w:spacing w:after="80"/>
        <w:ind w:left="360" w:hanging="360"/>
      </w:pPr>
      <w:r>
        <w:rPr>
          <w:rFonts w:ascii="Arial" w:cs="Arial" w:eastAsia="Arial" w:hAnsi="Arial"/>
          <w:sz w:val="18"/>
          <w:szCs w:val="18"/>
        </w:rPr>
        <w:t xml:space="preserve">Wang, S., et al. (2025). D-VRE: A decentralized virtual research environment with blockchain. Future Generation Computer Systems, 152, 17-29.</w:t>
      </w:r>
    </w:p>
    <w:p>
      <w:pPr>
        <w:spacing w:after="80"/>
        <w:ind w:left="360" w:hanging="360"/>
      </w:pPr>
      <w:r>
        <w:rPr>
          <w:rFonts w:ascii="Arial" w:cs="Arial" w:eastAsia="Arial" w:hAnsi="Arial"/>
          <w:sz w:val="18"/>
          <w:szCs w:val="18"/>
        </w:rPr>
        <w:t xml:space="preserve">Zhao, T., et al. (2017). GABBs: Reusable geospatial data building blocks for science gateways. Future Generation Computer Systems, 76, 312-321.</w:t>
      </w:r>
    </w:p>
    <w:p>
      <w:pPr>
        <w:spacing w:after="80"/>
        <w:ind w:left="360" w:hanging="360"/>
      </w:pPr>
      <w:r>
        <w:rPr>
          <w:rFonts w:ascii="Arial" w:cs="Arial" w:eastAsia="Arial" w:hAnsi="Arial"/>
          <w:sz w:val="18"/>
          <w:szCs w:val="18"/>
        </w:rPr>
        <w:t xml:space="preserve">Zentner, M., et al. (2016). nanoHUB.org: Experiences and challenges in software sustainability. Computing in Science &amp; Engineering, 18(5), 40-49.</w:t>
      </w:r>
    </w:p>
    <w:sectPr>
      <w:pgSz w:w="15840" w:h="122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sz w:val="32"/>
      <w:szCs w:val="32"/>
    </w:rPr>
  </w:style>
  <w:style w:type="paragraph" w:styleId="Heading2">
    <w:name w:val="Heading 2"/>
    <w:basedOn w:val="Normal"/>
    <w:next w:val="Normal"/>
    <w:qFormat/>
    <w:pPr>
      <w:spacing w:before="200" w:after="10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2026-01-19T03:17:13.009Z</dcterms:created>
  <dcterms:modified xsi:type="dcterms:W3CDTF">2026-01-19T03:17:13.010Z</dcterms:modified>
</cp:coreProperties>
</file>

<file path=docProps/custom.xml><?xml version="1.0" encoding="utf-8"?>
<Properties xmlns="http://schemas.openxmlformats.org/officeDocument/2006/custom-properties" xmlns:vt="http://schemas.openxmlformats.org/officeDocument/2006/docPropsVTypes"/>
</file>